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ascii="黑体" w:hAnsi="黑体" w:eastAsia="黑体" w:cs="方正仿宋简体"/>
          <w:kern w:val="0"/>
          <w:sz w:val="32"/>
          <w:szCs w:val="32"/>
        </w:rPr>
      </w:pPr>
      <w:r>
        <w:rPr>
          <w:rFonts w:hint="eastAsia" w:ascii="黑体" w:hAnsi="黑体" w:eastAsia="黑体" w:cs="方正仿宋简体"/>
          <w:kern w:val="0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养老机构基本条件告知书</w:t>
      </w:r>
    </w:p>
    <w:bookmarkEnd w:id="0"/>
    <w:p>
      <w:pPr>
        <w:jc w:val="left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ind w:firstLine="640" w:firstLineChars="200"/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  <w:t>应当符合《中华人民共和国建筑法》、《中华人民共和国消防法》、《无障碍环境建设条例》等法律法规，以及《老年人照料设施建筑设计标准》、《建筑设计防火规范》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  <w:t>应当符合《养老机构管理办法》规章。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  <w:t>开展医疗卫生服务的，应当符合《医疗机构管理条例》、《医疗机构管理条例实施细则》等法规规章，以及养老机构内设医务室、护理站等设置标准。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  <w:t>开展餐饮服务的，应当符合《中华人民共和国食品安全法》等法律法规，以及相应食品安全标准。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</w:pPr>
      <w:r>
        <w:rPr>
          <w:rFonts w:hint="eastAsia" w:ascii="方正仿宋_GBK" w:hAnsi="方正仿宋简体" w:eastAsia="方正仿宋_GBK" w:cs="方正仿宋简体"/>
          <w:kern w:val="0"/>
          <w:sz w:val="32"/>
          <w:szCs w:val="32"/>
        </w:rPr>
        <w:t>法律法规规定的其他条件。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1F8BD"/>
    <w:multiLevelType w:val="singleLevel"/>
    <w:tmpl w:val="5C21F8B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97EEB"/>
    <w:rsid w:val="1A597EEB"/>
    <w:rsid w:val="3F1E0EC4"/>
    <w:rsid w:val="5540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2020-03-27T02:07:00Z</dcterms:created>
  <dc:creator>肥珍</dc:creator>
  <cp:lastModifiedBy>胡凌瑜</cp:lastModifiedBy>
  <dcterms:modified xsi:type="dcterms:W3CDTF">2020-07-21T02:24:07Z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